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7" w:rsidRPr="00657268" w:rsidRDefault="007D6F77" w:rsidP="007D6F77">
      <w:pPr>
        <w:pStyle w:val="BodyText3"/>
        <w:rPr>
          <w:i/>
          <w:sz w:val="17"/>
          <w:szCs w:val="18"/>
        </w:rPr>
      </w:pPr>
      <w:bookmarkStart w:id="0" w:name="_GoBack"/>
      <w:bookmarkEnd w:id="0"/>
      <w:r w:rsidRPr="00657268">
        <w:rPr>
          <w:i/>
          <w:sz w:val="17"/>
          <w:szCs w:val="18"/>
        </w:rPr>
        <w:t>Restricted Purchases:</w:t>
      </w:r>
    </w:p>
    <w:p w:rsidR="007D6F77" w:rsidRPr="00657268" w:rsidRDefault="007D6F77" w:rsidP="007D6F77">
      <w:pPr>
        <w:ind w:right="-630"/>
        <w:rPr>
          <w:rFonts w:ascii="Arial" w:hAnsi="Arial" w:cs="Arial"/>
          <w:sz w:val="17"/>
          <w:szCs w:val="18"/>
        </w:rPr>
      </w:pPr>
      <w:r w:rsidRPr="00657268">
        <w:rPr>
          <w:rFonts w:ascii="Arial" w:hAnsi="Arial" w:cs="Arial"/>
          <w:sz w:val="17"/>
          <w:szCs w:val="18"/>
        </w:rPr>
        <w:t xml:space="preserve">The following are </w:t>
      </w:r>
      <w:r w:rsidRPr="00657268">
        <w:rPr>
          <w:rFonts w:ascii="Arial" w:hAnsi="Arial" w:cs="Arial"/>
          <w:b/>
          <w:bCs/>
          <w:sz w:val="17"/>
          <w:szCs w:val="18"/>
        </w:rPr>
        <w:t>examples</w:t>
      </w:r>
      <w:r w:rsidRPr="00657268">
        <w:rPr>
          <w:rFonts w:ascii="Arial" w:hAnsi="Arial" w:cs="Arial"/>
          <w:sz w:val="17"/>
          <w:szCs w:val="18"/>
        </w:rPr>
        <w:t xml:space="preserve"> of the types of items that </w:t>
      </w:r>
      <w:r w:rsidRPr="00657268">
        <w:rPr>
          <w:rFonts w:ascii="Arial" w:hAnsi="Arial" w:cs="Arial"/>
          <w:b/>
          <w:bCs/>
          <w:sz w:val="17"/>
          <w:szCs w:val="18"/>
          <w:u w:val="single"/>
        </w:rPr>
        <w:t>may not</w:t>
      </w:r>
      <w:r w:rsidRPr="00657268">
        <w:rPr>
          <w:rFonts w:ascii="Arial" w:hAnsi="Arial" w:cs="Arial"/>
          <w:sz w:val="17"/>
          <w:szCs w:val="18"/>
        </w:rPr>
        <w:t xml:space="preserve"> be purchased with the P-card: </w:t>
      </w:r>
    </w:p>
    <w:p w:rsidR="007D6F77" w:rsidRPr="00657268" w:rsidRDefault="007D6F77" w:rsidP="007D6F77">
      <w:pPr>
        <w:ind w:right="-630"/>
        <w:rPr>
          <w:sz w:val="15"/>
          <w:szCs w:val="15"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0"/>
        <w:gridCol w:w="1004"/>
        <w:gridCol w:w="990"/>
        <w:gridCol w:w="955"/>
        <w:gridCol w:w="935"/>
        <w:gridCol w:w="796"/>
        <w:gridCol w:w="900"/>
      </w:tblGrid>
      <w:tr w:rsidR="007D6F77" w:rsidRPr="00657268" w:rsidTr="00483457">
        <w:tc>
          <w:tcPr>
            <w:tcW w:w="8010" w:type="dxa"/>
          </w:tcPr>
          <w:p w:rsidR="007D6F77" w:rsidRPr="00657268" w:rsidRDefault="007D6F77" w:rsidP="00483457">
            <w:pPr>
              <w:rPr>
                <w:sz w:val="17"/>
                <w:szCs w:val="18"/>
              </w:rPr>
            </w:pPr>
          </w:p>
        </w:tc>
        <w:tc>
          <w:tcPr>
            <w:tcW w:w="5580" w:type="dxa"/>
            <w:gridSpan w:val="6"/>
          </w:tcPr>
          <w:p w:rsidR="007D6F77" w:rsidRPr="00657268" w:rsidRDefault="007D6F77" w:rsidP="00483457">
            <w:pPr>
              <w:jc w:val="center"/>
              <w:rPr>
                <w:sz w:val="12"/>
                <w:szCs w:val="12"/>
              </w:rPr>
            </w:pPr>
            <w:r w:rsidRPr="00657268">
              <w:rPr>
                <w:b/>
                <w:sz w:val="12"/>
                <w:szCs w:val="12"/>
              </w:rPr>
              <w:t>EXCEPTIONS</w:t>
            </w:r>
          </w:p>
        </w:tc>
      </w:tr>
      <w:tr w:rsidR="007D6F77" w:rsidRPr="00657268" w:rsidTr="00483457">
        <w:tc>
          <w:tcPr>
            <w:tcW w:w="8010" w:type="dxa"/>
          </w:tcPr>
          <w:p w:rsidR="007D6F77" w:rsidRPr="00657268" w:rsidRDefault="007D6F77" w:rsidP="00483457">
            <w:pPr>
              <w:rPr>
                <w:sz w:val="15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Facilities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Student Activity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Athletics</w:t>
            </w: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Health Services</w:t>
            </w: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OIT</w:t>
            </w:r>
          </w:p>
        </w:tc>
        <w:tc>
          <w:tcPr>
            <w:tcW w:w="900" w:type="dxa"/>
            <w:vAlign w:val="center"/>
          </w:tcPr>
          <w:p w:rsidR="007D6F77" w:rsidRPr="00657268" w:rsidRDefault="007D6F77" w:rsidP="00483457">
            <w:pPr>
              <w:jc w:val="center"/>
              <w:rPr>
                <w:b/>
                <w:sz w:val="15"/>
                <w:szCs w:val="16"/>
              </w:rPr>
            </w:pPr>
            <w:r w:rsidRPr="00657268">
              <w:rPr>
                <w:b/>
                <w:sz w:val="15"/>
                <w:szCs w:val="16"/>
              </w:rPr>
              <w:t>Theatre (props)</w:t>
            </w:r>
          </w:p>
        </w:tc>
      </w:tr>
      <w:tr w:rsidR="007D6F77" w:rsidRPr="00657268" w:rsidTr="00483457">
        <w:tc>
          <w:tcPr>
            <w:tcW w:w="8010" w:type="dxa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Air Conditioners/Space Heaters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Any item exceeding $999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Alcoholic beverages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Artwork (including pictures, posters, statutes, etc.)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Audio Visual or Photographic Equipment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Birthday cakes or celebration/parties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Candy/snacks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Carpet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 xml:space="preserve">Cash advances of any type (including traveler’s </w:t>
            </w:r>
            <w:proofErr w:type="spellStart"/>
            <w:r w:rsidRPr="00657268">
              <w:rPr>
                <w:sz w:val="15"/>
                <w:szCs w:val="16"/>
              </w:rPr>
              <w:t>cheques</w:t>
            </w:r>
            <w:proofErr w:type="spellEnd"/>
            <w:r w:rsidRPr="00657268">
              <w:rPr>
                <w:sz w:val="15"/>
                <w:szCs w:val="16"/>
              </w:rPr>
              <w:t>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 xml:space="preserve">Cellular Telephones (including </w:t>
            </w:r>
            <w:proofErr w:type="spellStart"/>
            <w:r w:rsidRPr="00657268">
              <w:rPr>
                <w:sz w:val="15"/>
                <w:szCs w:val="16"/>
              </w:rPr>
              <w:t>pocketpc’s</w:t>
            </w:r>
            <w:proofErr w:type="spellEnd"/>
            <w:r w:rsidRPr="00657268">
              <w:rPr>
                <w:sz w:val="15"/>
                <w:szCs w:val="16"/>
              </w:rPr>
              <w:t>, smartphones, blackberry’s, etc)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Dry Cleaning/Laundry Services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Employee Entertainment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Entertainment (theme parks, theatres, etc)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Equipment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Flowers or Gifts for condolences, congratulations, etc. involving employees or their relatives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Fines and Penalties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Fuel (including gasoline, diesel, propane, etc. except for certain state vehicles and rental cars on authorized travel)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Furniture and furnishings &gt; $999 (including tables, chairs, desks, lamps, etc.)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Gifts/donations of any kind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Greenery for office beautification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Insurance (except for automobile rental insurance on authorized travel)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Kitchen appliances (including coffee pots, microwave ovens, refrigerators (full and dorm size), toasters, etc.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 xml:space="preserve">Meals (in accordance to the University’s Refreshment Policy – refer to </w:t>
            </w:r>
            <w:hyperlink r:id="rId5" w:history="1">
              <w:r w:rsidRPr="00657268">
                <w:rPr>
                  <w:rStyle w:val="Hyperlink"/>
                  <w:sz w:val="15"/>
                  <w:szCs w:val="16"/>
                </w:rPr>
                <w:t>http://www.southernct.edu/finadm/policies/refreshment/</w:t>
              </w:r>
            </w:hyperlink>
            <w:r w:rsidRPr="00657268">
              <w:rPr>
                <w:sz w:val="15"/>
                <w:szCs w:val="16"/>
              </w:rPr>
              <w:t>.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Personal use items (including attaches’, folios, pen/pencil sets, etc.)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Office food supply items (including utensils, paper plates, cups, napkins, salt/pepper, sugar, coffee, tea, etc.)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Outdoor signage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Paint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Personal or decorative items (including knick-knacks)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Plants and shrubs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Precious metals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Prescription drugs and controlled substances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Professional or Personal Services of any type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Purchase from a university employee or their immediate family (conflict of interest/ethics violation)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Radioactive materials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 xml:space="preserve">Refreshments (including coffee, tea, water, etc. refer to the University’s Refreshment Policy - </w:t>
            </w:r>
            <w:hyperlink r:id="rId6" w:history="1">
              <w:r w:rsidRPr="00657268">
                <w:rPr>
                  <w:rStyle w:val="Hyperlink"/>
                  <w:sz w:val="15"/>
                  <w:szCs w:val="16"/>
                </w:rPr>
                <w:t>http://www.southernct.edu/finadm/policies/refreshment/</w:t>
              </w:r>
            </w:hyperlink>
            <w:r w:rsidRPr="00657268">
              <w:rPr>
                <w:sz w:val="15"/>
                <w:szCs w:val="16"/>
              </w:rPr>
              <w:t>.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Sporting goods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Sponsorship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Telecommunications Equipment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X</w:t>
            </w: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Tobacco Products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Water Coolers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  <w:tr w:rsidR="007D6F77" w:rsidRPr="00657268" w:rsidTr="00483457">
        <w:tc>
          <w:tcPr>
            <w:tcW w:w="8010" w:type="dxa"/>
            <w:vAlign w:val="bottom"/>
          </w:tcPr>
          <w:p w:rsidR="007D6F77" w:rsidRPr="00657268" w:rsidRDefault="007D6F77" w:rsidP="00483457">
            <w:pPr>
              <w:ind w:left="-45"/>
              <w:rPr>
                <w:sz w:val="15"/>
                <w:szCs w:val="16"/>
              </w:rPr>
            </w:pPr>
            <w:r w:rsidRPr="00657268">
              <w:rPr>
                <w:sz w:val="15"/>
                <w:szCs w:val="16"/>
              </w:rPr>
              <w:t>Weapons</w:t>
            </w:r>
          </w:p>
        </w:tc>
        <w:tc>
          <w:tcPr>
            <w:tcW w:w="1004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D6F77" w:rsidRPr="00657268" w:rsidRDefault="007D6F77" w:rsidP="00483457">
            <w:pPr>
              <w:ind w:left="-45"/>
              <w:jc w:val="center"/>
              <w:rPr>
                <w:sz w:val="15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  <w:tc>
          <w:tcPr>
            <w:tcW w:w="900" w:type="dxa"/>
          </w:tcPr>
          <w:p w:rsidR="007D6F77" w:rsidRPr="00657268" w:rsidRDefault="007D6F77" w:rsidP="00483457">
            <w:pPr>
              <w:jc w:val="center"/>
              <w:rPr>
                <w:sz w:val="15"/>
                <w:szCs w:val="16"/>
              </w:rPr>
            </w:pPr>
          </w:p>
        </w:tc>
      </w:tr>
    </w:tbl>
    <w:p w:rsidR="007D6F77" w:rsidRPr="00657268" w:rsidRDefault="007D6F77" w:rsidP="007D6F77">
      <w:pPr>
        <w:ind w:left="315"/>
        <w:rPr>
          <w:sz w:val="15"/>
          <w:szCs w:val="16"/>
        </w:rPr>
      </w:pPr>
    </w:p>
    <w:p w:rsidR="007D6F77" w:rsidRPr="00657268" w:rsidRDefault="007D6F77" w:rsidP="007D6F77">
      <w:pPr>
        <w:pStyle w:val="BodyText"/>
        <w:jc w:val="both"/>
        <w:rPr>
          <w:sz w:val="15"/>
          <w:szCs w:val="16"/>
        </w:rPr>
      </w:pPr>
      <w:r w:rsidRPr="00657268">
        <w:rPr>
          <w:sz w:val="15"/>
          <w:szCs w:val="16"/>
        </w:rPr>
        <w:t>Exemptions or questions regarding restricted purchases may be granted on a case-by-case basis upon the approval of a member from the</w:t>
      </w:r>
      <w:r w:rsidRPr="00657268">
        <w:rPr>
          <w:rFonts w:cs="Arial"/>
          <w:i w:val="0"/>
          <w:sz w:val="15"/>
          <w:szCs w:val="16"/>
        </w:rPr>
        <w:t xml:space="preserve"> Purchasing Card Program Administrator, or another member of the P-Card Administration</w:t>
      </w:r>
      <w:r w:rsidRPr="00657268">
        <w:rPr>
          <w:sz w:val="15"/>
          <w:szCs w:val="16"/>
        </w:rPr>
        <w:t>.</w:t>
      </w:r>
    </w:p>
    <w:p w:rsidR="000B6580" w:rsidRPr="00657268" w:rsidRDefault="000B6580">
      <w:pPr>
        <w:rPr>
          <w:i/>
          <w:sz w:val="15"/>
          <w:szCs w:val="16"/>
        </w:rPr>
      </w:pPr>
    </w:p>
    <w:sectPr w:rsidR="000B6580" w:rsidRPr="00657268" w:rsidSect="00657268">
      <w:pgSz w:w="15840" w:h="12240" w:orient="landscape" w:code="1"/>
      <w:pgMar w:top="1008" w:right="126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77"/>
    <w:rsid w:val="000B6580"/>
    <w:rsid w:val="000D3DD1"/>
    <w:rsid w:val="00657268"/>
    <w:rsid w:val="007B2B8E"/>
    <w:rsid w:val="007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7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6F77"/>
    <w:rPr>
      <w:color w:val="0000FF"/>
      <w:u w:val="single"/>
    </w:rPr>
  </w:style>
  <w:style w:type="paragraph" w:styleId="BodyText">
    <w:name w:val="Body Text"/>
    <w:basedOn w:val="Normal"/>
    <w:link w:val="BodyTextChar"/>
    <w:rsid w:val="007D6F77"/>
    <w:pPr>
      <w:tabs>
        <w:tab w:val="num" w:pos="735"/>
      </w:tabs>
    </w:pPr>
    <w:rPr>
      <w:b/>
      <w:i/>
    </w:rPr>
  </w:style>
  <w:style w:type="character" w:customStyle="1" w:styleId="BodyTextChar">
    <w:name w:val="Body Text Char"/>
    <w:basedOn w:val="DefaultParagraphFont"/>
    <w:link w:val="BodyText"/>
    <w:rsid w:val="007D6F77"/>
    <w:rPr>
      <w:rFonts w:ascii="Helvetica" w:eastAsia="Times New Roman" w:hAnsi="Helvetica" w:cs="Times New Roman"/>
      <w:b/>
      <w:i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7D6F7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7D6F77"/>
    <w:rPr>
      <w:rFonts w:ascii="Helvetica" w:eastAsia="Times New Roman" w:hAnsi="Helvetica" w:cs="Times New Roman"/>
      <w:b/>
      <w:bCs/>
      <w:sz w:val="24"/>
      <w:szCs w:val="20"/>
      <w:lang w:eastAsia="en-US"/>
    </w:rPr>
  </w:style>
  <w:style w:type="table" w:styleId="TableGrid">
    <w:name w:val="Table Grid"/>
    <w:basedOn w:val="TableNormal"/>
    <w:rsid w:val="007D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6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7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6F77"/>
    <w:rPr>
      <w:color w:val="0000FF"/>
      <w:u w:val="single"/>
    </w:rPr>
  </w:style>
  <w:style w:type="paragraph" w:styleId="BodyText">
    <w:name w:val="Body Text"/>
    <w:basedOn w:val="Normal"/>
    <w:link w:val="BodyTextChar"/>
    <w:rsid w:val="007D6F77"/>
    <w:pPr>
      <w:tabs>
        <w:tab w:val="num" w:pos="735"/>
      </w:tabs>
    </w:pPr>
    <w:rPr>
      <w:b/>
      <w:i/>
    </w:rPr>
  </w:style>
  <w:style w:type="character" w:customStyle="1" w:styleId="BodyTextChar">
    <w:name w:val="Body Text Char"/>
    <w:basedOn w:val="DefaultParagraphFont"/>
    <w:link w:val="BodyText"/>
    <w:rsid w:val="007D6F77"/>
    <w:rPr>
      <w:rFonts w:ascii="Helvetica" w:eastAsia="Times New Roman" w:hAnsi="Helvetica" w:cs="Times New Roman"/>
      <w:b/>
      <w:i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7D6F7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7D6F77"/>
    <w:rPr>
      <w:rFonts w:ascii="Helvetica" w:eastAsia="Times New Roman" w:hAnsi="Helvetica" w:cs="Times New Roman"/>
      <w:b/>
      <w:bCs/>
      <w:sz w:val="24"/>
      <w:szCs w:val="20"/>
      <w:lang w:eastAsia="en-US"/>
    </w:rPr>
  </w:style>
  <w:style w:type="table" w:styleId="TableGrid">
    <w:name w:val="Table Grid"/>
    <w:basedOn w:val="TableNormal"/>
    <w:rsid w:val="007D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6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uthernct.edu/finadm/policies/refreshment/" TargetMode="External"/><Relationship Id="rId6" Type="http://schemas.openxmlformats.org/officeDocument/2006/relationships/hyperlink" Target="http://www.southernct.edu/finadm/policies/refreshmen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Macintosh Word</Application>
  <DocSecurity>0</DocSecurity>
  <Lines>19</Lines>
  <Paragraphs>5</Paragraphs>
  <ScaleCrop>false</ScaleCrop>
  <Company>Southern CT State University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Mary Pat Caputo</cp:lastModifiedBy>
  <cp:revision>2</cp:revision>
  <cp:lastPrinted>2011-10-04T13:56:00Z</cp:lastPrinted>
  <dcterms:created xsi:type="dcterms:W3CDTF">2012-12-06T19:29:00Z</dcterms:created>
  <dcterms:modified xsi:type="dcterms:W3CDTF">2012-12-06T19:29:00Z</dcterms:modified>
</cp:coreProperties>
</file>