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1C4F" w14:textId="436D2C1F" w:rsidR="004F200A" w:rsidRDefault="003F6672" w:rsidP="007D29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Research Associate</w:t>
      </w:r>
      <w:r w:rsidR="004F200A">
        <w:rPr>
          <w:b/>
          <w:sz w:val="24"/>
        </w:rPr>
        <w:t xml:space="preserve"> - </w:t>
      </w:r>
      <w:r w:rsidR="00FE7A0F">
        <w:rPr>
          <w:b/>
          <w:sz w:val="24"/>
        </w:rPr>
        <w:t>Biochemistry/Biophysics</w:t>
      </w:r>
      <w:r w:rsidR="004F200A" w:rsidRPr="004F200A">
        <w:rPr>
          <w:b/>
          <w:sz w:val="24"/>
        </w:rPr>
        <w:t xml:space="preserve"> </w:t>
      </w:r>
    </w:p>
    <w:p w14:paraId="1BC98055" w14:textId="091C4A88" w:rsidR="00DE48EF" w:rsidRDefault="004F200A" w:rsidP="007D29ED">
      <w:pPr>
        <w:spacing w:after="0" w:line="240" w:lineRule="auto"/>
        <w:jc w:val="center"/>
        <w:rPr>
          <w:b/>
          <w:sz w:val="24"/>
        </w:rPr>
      </w:pPr>
      <w:proofErr w:type="spellStart"/>
      <w:r w:rsidRPr="00740DF1">
        <w:rPr>
          <w:b/>
          <w:sz w:val="24"/>
        </w:rPr>
        <w:t>Halda</w:t>
      </w:r>
      <w:proofErr w:type="spellEnd"/>
      <w:r w:rsidRPr="00740DF1">
        <w:rPr>
          <w:b/>
          <w:sz w:val="24"/>
        </w:rPr>
        <w:t xml:space="preserve"> Therapeutics – </w:t>
      </w:r>
      <w:r>
        <w:rPr>
          <w:b/>
          <w:sz w:val="24"/>
        </w:rPr>
        <w:t xml:space="preserve">New Haven </w:t>
      </w:r>
      <w:proofErr w:type="spellStart"/>
      <w:r>
        <w:rPr>
          <w:b/>
          <w:sz w:val="24"/>
        </w:rPr>
        <w:t>BioPharma</w:t>
      </w:r>
      <w:proofErr w:type="spellEnd"/>
      <w:r>
        <w:rPr>
          <w:b/>
          <w:sz w:val="24"/>
        </w:rPr>
        <w:t xml:space="preserve"> Company </w:t>
      </w:r>
    </w:p>
    <w:p w14:paraId="2C15E86D" w14:textId="0BB035C8" w:rsidR="004F200A" w:rsidRPr="00740DF1" w:rsidRDefault="004F200A" w:rsidP="007D29ED">
      <w:pPr>
        <w:spacing w:after="0" w:line="240" w:lineRule="auto"/>
        <w:jc w:val="center"/>
        <w:rPr>
          <w:b/>
          <w:sz w:val="24"/>
        </w:rPr>
      </w:pPr>
    </w:p>
    <w:p w14:paraId="719D1541" w14:textId="66F4B0EF" w:rsidR="00A4061D" w:rsidRDefault="00A4061D" w:rsidP="007D29ED">
      <w:pPr>
        <w:spacing w:after="0" w:line="240" w:lineRule="auto"/>
        <w:jc w:val="both"/>
      </w:pPr>
      <w:proofErr w:type="spellStart"/>
      <w:r>
        <w:t>Halda</w:t>
      </w:r>
      <w:proofErr w:type="spellEnd"/>
      <w:r>
        <w:t xml:space="preserve"> Therapeutics is </w:t>
      </w:r>
      <w:r w:rsidR="00912A78">
        <w:t xml:space="preserve">a </w:t>
      </w:r>
      <w:r w:rsidR="00153A17">
        <w:t>venture</w:t>
      </w:r>
      <w:r w:rsidR="00912A78">
        <w:t>-</w:t>
      </w:r>
      <w:r w:rsidR="00912A78" w:rsidRPr="00484874">
        <w:t>backed</w:t>
      </w:r>
      <w:r w:rsidR="005A69B8" w:rsidRPr="00484874">
        <w:t xml:space="preserve"> </w:t>
      </w:r>
      <w:r w:rsidRPr="00484874">
        <w:t xml:space="preserve">biotechnology platform company. </w:t>
      </w:r>
      <w:r w:rsidR="003F6672" w:rsidRPr="00484874">
        <w:t xml:space="preserve"> </w:t>
      </w:r>
      <w:proofErr w:type="spellStart"/>
      <w:r w:rsidR="00484874" w:rsidRPr="00484874">
        <w:rPr>
          <w:rFonts w:ascii="Calibri" w:hAnsi="Calibri"/>
        </w:rPr>
        <w:t>Halda</w:t>
      </w:r>
      <w:proofErr w:type="spellEnd"/>
      <w:r w:rsidR="00484874" w:rsidRPr="00484874">
        <w:rPr>
          <w:rFonts w:ascii="Calibri" w:hAnsi="Calibri"/>
        </w:rPr>
        <w:t xml:space="preserve"> is focused on the discovery of precision medicines through the creation of innovative heterobifunctional molecules that modify disease-causing pathways.  </w:t>
      </w:r>
      <w:proofErr w:type="spellStart"/>
      <w:r w:rsidR="00153A17" w:rsidRPr="00484874">
        <w:t>Halda</w:t>
      </w:r>
      <w:proofErr w:type="spellEnd"/>
      <w:r w:rsidR="00153A17" w:rsidRPr="00484874">
        <w:t xml:space="preserve"> was founded by Professor Craig Crews from Yale University and is funded by top-tier venture capital firms.  The Company is located in Branford</w:t>
      </w:r>
      <w:r w:rsidR="00153A17">
        <w:t>, CT and will be moving to new lab space in New Haven, CT in the first quarter 2021.</w:t>
      </w:r>
    </w:p>
    <w:p w14:paraId="30B510BF" w14:textId="77777777" w:rsidR="007D29ED" w:rsidRDefault="007D29ED" w:rsidP="007D29ED">
      <w:pPr>
        <w:spacing w:after="0" w:line="240" w:lineRule="auto"/>
        <w:jc w:val="both"/>
      </w:pPr>
    </w:p>
    <w:p w14:paraId="16C41314" w14:textId="7F8C2E6A" w:rsidR="00263BD3" w:rsidRPr="00E01CA1" w:rsidRDefault="00E01CA1" w:rsidP="007D29E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The Position</w:t>
      </w:r>
    </w:p>
    <w:p w14:paraId="104D258A" w14:textId="65FC09C5" w:rsidR="0056345A" w:rsidRDefault="000C54C2" w:rsidP="007D29ED">
      <w:pPr>
        <w:spacing w:after="0" w:line="240" w:lineRule="auto"/>
        <w:jc w:val="both"/>
      </w:pPr>
      <w:r>
        <w:t>The</w:t>
      </w:r>
      <w:r w:rsidR="00FE7A0F">
        <w:t xml:space="preserve"> </w:t>
      </w:r>
      <w:r w:rsidR="007D5470">
        <w:t>Research Associat</w:t>
      </w:r>
      <w:r w:rsidR="005B2A83">
        <w:t>e should have</w:t>
      </w:r>
      <w:r w:rsidR="00FE7A0F">
        <w:t xml:space="preserve"> a strong foundation in protein biochemistry and biophysics</w:t>
      </w:r>
      <w:r w:rsidR="00DE48EF">
        <w:t xml:space="preserve"> </w:t>
      </w:r>
      <w:r w:rsidR="00F84BE4">
        <w:t xml:space="preserve">and </w:t>
      </w:r>
      <w:r w:rsidR="0056345A">
        <w:t xml:space="preserve">experience </w:t>
      </w:r>
      <w:r w:rsidR="00153517">
        <w:t>contribut</w:t>
      </w:r>
      <w:r w:rsidR="0056345A">
        <w:t>ing</w:t>
      </w:r>
      <w:r w:rsidR="00FE7A0F">
        <w:t xml:space="preserve"> to </w:t>
      </w:r>
      <w:r w:rsidR="00F72C82">
        <w:t>lead discovery</w:t>
      </w:r>
      <w:r w:rsidR="00FE7A0F">
        <w:t xml:space="preserve"> </w:t>
      </w:r>
      <w:r w:rsidR="0082570B">
        <w:t xml:space="preserve">and ligand validation </w:t>
      </w:r>
      <w:r w:rsidR="007E096C">
        <w:t>efforts</w:t>
      </w:r>
      <w:r w:rsidR="00C70F53">
        <w:t>.</w:t>
      </w:r>
      <w:r w:rsidR="00DE48EF">
        <w:t xml:space="preserve"> </w:t>
      </w:r>
      <w:r w:rsidR="00C70F53">
        <w:t xml:space="preserve"> </w:t>
      </w:r>
      <w:r w:rsidR="0056345A">
        <w:t>The successful candidate will work within specific discovery project teams that contribute to the development of multiple heterodimerization platforms.  This work will require cross</w:t>
      </w:r>
      <w:r w:rsidR="00B24236">
        <w:t>-</w:t>
      </w:r>
      <w:r w:rsidR="0056345A">
        <w:t xml:space="preserve">disciplinary interactions with biologists, </w:t>
      </w:r>
      <w:r w:rsidR="00B62E9D">
        <w:t xml:space="preserve">medicinal </w:t>
      </w:r>
      <w:r w:rsidR="0056345A">
        <w:t>chemists, and structural biologists.</w:t>
      </w:r>
    </w:p>
    <w:p w14:paraId="2D4C6567" w14:textId="77777777" w:rsidR="007D29ED" w:rsidRPr="00F22323" w:rsidRDefault="007D29ED" w:rsidP="007D29ED">
      <w:pPr>
        <w:spacing w:after="0" w:line="240" w:lineRule="auto"/>
        <w:jc w:val="both"/>
        <w:rPr>
          <w:b/>
          <w:bCs/>
        </w:rPr>
      </w:pPr>
    </w:p>
    <w:p w14:paraId="0791F209" w14:textId="0DB05CD5" w:rsidR="00E01CA1" w:rsidRDefault="00E01CA1" w:rsidP="007D29E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Key Responsibilities</w:t>
      </w:r>
    </w:p>
    <w:p w14:paraId="41E60FA6" w14:textId="553389DB" w:rsidR="008B4945" w:rsidRPr="00800302" w:rsidRDefault="001D17EA" w:rsidP="007D29E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bCs/>
        </w:rPr>
      </w:pPr>
      <w:r>
        <w:t>Design</w:t>
      </w:r>
      <w:r w:rsidR="00622631">
        <w:t xml:space="preserve"> and execute</w:t>
      </w:r>
      <w:r w:rsidR="00377110">
        <w:t xml:space="preserve"> </w:t>
      </w:r>
      <w:r w:rsidR="00C11CFF">
        <w:t>robust</w:t>
      </w:r>
      <w:r w:rsidR="00377110">
        <w:t xml:space="preserve"> biochemical and biophysical assays</w:t>
      </w:r>
      <w:r w:rsidR="005B2AD7">
        <w:t xml:space="preserve"> </w:t>
      </w:r>
      <w:r w:rsidR="0003630B">
        <w:t xml:space="preserve">to determine protein-ligand affinity, </w:t>
      </w:r>
      <w:r w:rsidR="005F5AB7">
        <w:t>extent of ligand-induced protein-protein interaction</w:t>
      </w:r>
      <w:r w:rsidR="00431150">
        <w:t>, as well as ligand mechanism of action</w:t>
      </w:r>
    </w:p>
    <w:p w14:paraId="3D3F7345" w14:textId="27706FCA" w:rsidR="001F169D" w:rsidRPr="006D18C0" w:rsidRDefault="00800302" w:rsidP="007D29E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bCs/>
        </w:rPr>
      </w:pPr>
      <w:r>
        <w:t>Analyze and interpret</w:t>
      </w:r>
      <w:r w:rsidR="000449E8">
        <w:t xml:space="preserve"> </w:t>
      </w:r>
      <w:r w:rsidR="006D18C0">
        <w:t>assay data and c</w:t>
      </w:r>
      <w:r w:rsidR="005F4CCF">
        <w:t>ommunicate data to</w:t>
      </w:r>
      <w:r w:rsidR="00592DB6">
        <w:t xml:space="preserve"> team members as well as d</w:t>
      </w:r>
      <w:r w:rsidR="0083115C">
        <w:t xml:space="preserve">ocument </w:t>
      </w:r>
      <w:r w:rsidR="00592DB6">
        <w:t>in</w:t>
      </w:r>
      <w:r w:rsidR="0083115C">
        <w:t xml:space="preserve"> electronic lab notebook</w:t>
      </w:r>
    </w:p>
    <w:p w14:paraId="37950FF5" w14:textId="6E09FAAF" w:rsidR="006D18C0" w:rsidRPr="006D18C0" w:rsidRDefault="006D18C0" w:rsidP="007D29E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bCs/>
        </w:rPr>
      </w:pPr>
      <w:r>
        <w:t>Troubleshoot assays</w:t>
      </w:r>
      <w:r w:rsidR="00003A87">
        <w:t xml:space="preserve"> </w:t>
      </w:r>
      <w:r w:rsidR="00347884">
        <w:t>when necessary</w:t>
      </w:r>
    </w:p>
    <w:p w14:paraId="666D004B" w14:textId="77BC49B0" w:rsidR="00504D50" w:rsidRPr="001F169D" w:rsidRDefault="00660196" w:rsidP="007D29E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bCs/>
        </w:rPr>
      </w:pPr>
      <w:r>
        <w:t>Collaborate with external collaborators, e</w:t>
      </w:r>
      <w:r w:rsidR="008D5C48">
        <w:t>.</w:t>
      </w:r>
      <w:r>
        <w:t>g</w:t>
      </w:r>
      <w:r w:rsidR="008D5C48">
        <w:t>.,</w:t>
      </w:r>
      <w:r>
        <w:t xml:space="preserve"> CROs</w:t>
      </w:r>
      <w:r w:rsidR="0028776E">
        <w:t>, as needed</w:t>
      </w:r>
    </w:p>
    <w:p w14:paraId="7FE5BCC9" w14:textId="66DAE9B2" w:rsidR="0083115C" w:rsidRPr="007D29ED" w:rsidRDefault="001D17EA" w:rsidP="007D29E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bCs/>
        </w:rPr>
      </w:pPr>
      <w:r>
        <w:t>Design and execute cell-based assays, as needed</w:t>
      </w:r>
    </w:p>
    <w:p w14:paraId="7744443A" w14:textId="77777777" w:rsidR="007D29ED" w:rsidRPr="008B4945" w:rsidRDefault="007D29ED" w:rsidP="007D29ED">
      <w:pPr>
        <w:pStyle w:val="ListParagraph"/>
        <w:spacing w:after="0" w:line="240" w:lineRule="auto"/>
        <w:jc w:val="both"/>
        <w:rPr>
          <w:b/>
          <w:bCs/>
        </w:rPr>
      </w:pPr>
    </w:p>
    <w:p w14:paraId="7B7D8FC4" w14:textId="749EAD5B" w:rsidR="00740DF1" w:rsidRPr="006C2C3D" w:rsidRDefault="006C2C3D" w:rsidP="007D29E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14:paraId="111E9F16" w14:textId="5F53653B" w:rsidR="00740DF1" w:rsidRDefault="00D51670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B.S./M.S. with </w:t>
      </w:r>
      <w:r w:rsidR="00045797">
        <w:t>2+</w:t>
      </w:r>
      <w:r>
        <w:t xml:space="preserve"> years of experience in a biotech or pharmaceutical company</w:t>
      </w:r>
    </w:p>
    <w:p w14:paraId="55B5410E" w14:textId="2EB740F4" w:rsidR="006351E9" w:rsidRDefault="006351E9" w:rsidP="007D29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Experience </w:t>
      </w:r>
      <w:r w:rsidR="00377110">
        <w:t>in developing assays to monitor protein-protein interactions</w:t>
      </w:r>
    </w:p>
    <w:p w14:paraId="1A516475" w14:textId="1EB3EA82" w:rsidR="00635CA4" w:rsidRDefault="00635CA4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Willingness to learn cell-based experiments and methodology</w:t>
      </w:r>
    </w:p>
    <w:p w14:paraId="57DF5DE5" w14:textId="5255F7DD" w:rsidR="00D51670" w:rsidRDefault="00D51670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Ability to thrive in a multifunctional role at a fast-growing biotech</w:t>
      </w:r>
    </w:p>
    <w:p w14:paraId="7CC62C4E" w14:textId="4ECEC7C4" w:rsidR="00740DF1" w:rsidRDefault="00955499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Excellent</w:t>
      </w:r>
      <w:r w:rsidR="00DE48EF" w:rsidRPr="00DE48EF">
        <w:t xml:space="preserve"> interpersonal, communication, organizational, teamwork, time management, and planning skills to accomplish multiple tasks in a short </w:t>
      </w:r>
      <w:r w:rsidR="00913D24">
        <w:t>timeframe</w:t>
      </w:r>
      <w:r w:rsidR="00DE48EF" w:rsidRPr="00DE48EF">
        <w:t xml:space="preserve"> are essential</w:t>
      </w:r>
    </w:p>
    <w:p w14:paraId="082589C5" w14:textId="4B377E7F" w:rsidR="007D29ED" w:rsidRPr="007D29ED" w:rsidRDefault="00DE48EF" w:rsidP="003140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u w:val="single"/>
        </w:rPr>
      </w:pPr>
      <w:r w:rsidRPr="00DE48EF">
        <w:t xml:space="preserve">Strong work ethic, responsibility and positive work habits are critical </w:t>
      </w:r>
    </w:p>
    <w:p w14:paraId="65C5C260" w14:textId="5219F1A2" w:rsidR="007D29ED" w:rsidRDefault="007D29ED" w:rsidP="007D29ED">
      <w:pPr>
        <w:spacing w:after="0" w:line="240" w:lineRule="auto"/>
        <w:jc w:val="both"/>
        <w:rPr>
          <w:b/>
          <w:bCs/>
          <w:u w:val="single"/>
        </w:rPr>
      </w:pPr>
    </w:p>
    <w:p w14:paraId="50F82EDA" w14:textId="753AB79E" w:rsidR="00D51670" w:rsidRPr="007D29ED" w:rsidRDefault="00D51670" w:rsidP="007D29ED">
      <w:pPr>
        <w:spacing w:after="0" w:line="240" w:lineRule="auto"/>
        <w:jc w:val="both"/>
        <w:rPr>
          <w:b/>
          <w:bCs/>
          <w:u w:val="single"/>
        </w:rPr>
      </w:pPr>
      <w:r w:rsidRPr="007D29ED">
        <w:rPr>
          <w:b/>
          <w:bCs/>
          <w:u w:val="single"/>
        </w:rPr>
        <w:t xml:space="preserve">Additional </w:t>
      </w:r>
      <w:r w:rsidR="00DB5A97" w:rsidRPr="007D29ED">
        <w:rPr>
          <w:b/>
          <w:bCs/>
          <w:u w:val="single"/>
        </w:rPr>
        <w:t>D</w:t>
      </w:r>
      <w:r w:rsidRPr="007D29ED">
        <w:rPr>
          <w:b/>
          <w:bCs/>
          <w:u w:val="single"/>
        </w:rPr>
        <w:t xml:space="preserve">esired </w:t>
      </w:r>
      <w:r w:rsidR="00DB5A97" w:rsidRPr="007D29ED">
        <w:rPr>
          <w:b/>
          <w:bCs/>
          <w:u w:val="single"/>
        </w:rPr>
        <w:t>Q</w:t>
      </w:r>
      <w:r w:rsidRPr="007D29ED">
        <w:rPr>
          <w:b/>
          <w:bCs/>
          <w:u w:val="single"/>
        </w:rPr>
        <w:t>ualification</w:t>
      </w:r>
      <w:r w:rsidR="007143E7" w:rsidRPr="007D29ED">
        <w:rPr>
          <w:b/>
          <w:bCs/>
          <w:u w:val="single"/>
        </w:rPr>
        <w:t>s</w:t>
      </w:r>
    </w:p>
    <w:p w14:paraId="55F5C596" w14:textId="2346D031" w:rsidR="00C756A9" w:rsidRDefault="00C756A9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Experience with at least one or more of the following quantitative methods to </w:t>
      </w:r>
      <w:r w:rsidR="0044514C">
        <w:t xml:space="preserve">investigate </w:t>
      </w:r>
      <w:r>
        <w:t xml:space="preserve">protein/small-molecule or protein/protein </w:t>
      </w:r>
      <w:r w:rsidR="000F4AF2">
        <w:t>interactions</w:t>
      </w:r>
      <w:r>
        <w:t xml:space="preserve">: </w:t>
      </w:r>
      <w:r w:rsidR="0044514C">
        <w:t xml:space="preserve">SPR, </w:t>
      </w:r>
      <w:r>
        <w:t>NMR, ITC, DSF</w:t>
      </w:r>
      <w:r w:rsidR="007E096C">
        <w:t>,</w:t>
      </w:r>
      <w:r w:rsidR="00B66A26">
        <w:t xml:space="preserve"> or</w:t>
      </w:r>
      <w:r w:rsidR="007E096C">
        <w:t xml:space="preserve"> </w:t>
      </w:r>
      <w:r>
        <w:t>fluorescent plate-based assays</w:t>
      </w:r>
      <w:r w:rsidR="007E096C">
        <w:t>,</w:t>
      </w:r>
      <w:r w:rsidR="00A4698F">
        <w:t xml:space="preserve"> </w:t>
      </w:r>
      <w:r>
        <w:t xml:space="preserve">such as </w:t>
      </w:r>
      <w:proofErr w:type="spellStart"/>
      <w:r>
        <w:t>AlphaLISA</w:t>
      </w:r>
      <w:proofErr w:type="spellEnd"/>
      <w:r>
        <w:t>, TR-FRET, or FP</w:t>
      </w:r>
    </w:p>
    <w:p w14:paraId="5C2A33FE" w14:textId="30858BEC" w:rsidR="00D51670" w:rsidRDefault="0044514C" w:rsidP="007D29E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Specific e</w:t>
      </w:r>
      <w:r w:rsidR="00C756A9">
        <w:t xml:space="preserve">xperience with SPR is highly desirable but not </w:t>
      </w:r>
      <w:r w:rsidR="000F4AF2">
        <w:t xml:space="preserve">absolutely </w:t>
      </w:r>
      <w:r w:rsidR="00C756A9">
        <w:t>required</w:t>
      </w:r>
    </w:p>
    <w:p w14:paraId="2F523B9A" w14:textId="77777777" w:rsidR="007D29ED" w:rsidRDefault="007D29ED" w:rsidP="004F200A">
      <w:pPr>
        <w:spacing w:after="0" w:line="240" w:lineRule="auto"/>
        <w:jc w:val="both"/>
        <w:rPr>
          <w:b/>
          <w:bCs/>
          <w:u w:val="single"/>
        </w:rPr>
      </w:pPr>
      <w:bookmarkStart w:id="0" w:name="_Hlk56590264"/>
    </w:p>
    <w:p w14:paraId="0B3B30AF" w14:textId="51B4DEA4" w:rsidR="004F200A" w:rsidRPr="00C35801" w:rsidRDefault="007D29ED" w:rsidP="004F200A">
      <w:pPr>
        <w:spacing w:after="0" w:line="240" w:lineRule="auto"/>
        <w:jc w:val="both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967FA" wp14:editId="345F915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327910" cy="584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A330" w14:textId="279D5B83" w:rsidR="007D29ED" w:rsidRPr="007D29ED" w:rsidRDefault="007D29ED" w:rsidP="007D29E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opportunity is facilitated by </w:t>
                            </w:r>
                            <w:hyperlink r:id="rId8" w:history="1">
                              <w:proofErr w:type="spellStart"/>
                              <w:r w:rsidRPr="007D29E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0"/>
                                  <w:szCs w:val="20"/>
                                </w:rPr>
                                <w:t>BioPath</w:t>
                              </w:r>
                              <w:proofErr w:type="spellEnd"/>
                            </w:hyperlink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a CT biotechnology careers program.  Please mention </w:t>
                            </w:r>
                            <w:proofErr w:type="spellStart"/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BioPath</w:t>
                            </w:r>
                            <w:proofErr w:type="spellEnd"/>
                            <w:r w:rsidRPr="007D29E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when applying.</w:t>
                            </w:r>
                          </w:p>
                          <w:p w14:paraId="7C1DB462" w14:textId="2262C3AE" w:rsidR="007D29ED" w:rsidRDefault="007D2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6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1pt;margin-top:7pt;width:183.3pt;height:4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W6IQ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" stroked="f" strokeweight=".5pt">
                <v:textbox>
                  <w:txbxContent>
                    <w:p w14:paraId="5A8FA330" w14:textId="279D5B83" w:rsidR="007D29ED" w:rsidRPr="007D29ED" w:rsidRDefault="007D29ED" w:rsidP="007D29ED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This opportunity is facilitated by </w:t>
                      </w:r>
                      <w:hyperlink r:id="rId9" w:history="1">
                        <w:proofErr w:type="spellStart"/>
                        <w:r w:rsidRPr="007D29ED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70C0"/>
                            <w:sz w:val="20"/>
                            <w:szCs w:val="20"/>
                          </w:rPr>
                          <w:t>BioPath</w:t>
                        </w:r>
                        <w:proofErr w:type="spellEnd"/>
                      </w:hyperlink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a CT biotechnology careers program.  Please mention </w:t>
                      </w:r>
                      <w:proofErr w:type="spellStart"/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BioPath</w:t>
                      </w:r>
                      <w:proofErr w:type="spellEnd"/>
                      <w:r w:rsidRPr="007D29E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when applying.</w:t>
                      </w:r>
                    </w:p>
                    <w:p w14:paraId="7C1DB462" w14:textId="2262C3AE" w:rsidR="007D29ED" w:rsidRDefault="007D29ED"/>
                  </w:txbxContent>
                </v:textbox>
                <w10:wrap type="square" anchorx="margin"/>
              </v:shape>
            </w:pict>
          </mc:Fallback>
        </mc:AlternateContent>
      </w:r>
      <w:r w:rsidR="00C35801" w:rsidRPr="004F200A">
        <w:rPr>
          <w:rFonts w:cstheme="minorHAnsi"/>
        </w:rPr>
        <w:t xml:space="preserve"> </w:t>
      </w:r>
    </w:p>
    <w:p w14:paraId="74A81161" w14:textId="1F6F5A63" w:rsidR="004F200A" w:rsidRPr="004F200A" w:rsidRDefault="004F200A" w:rsidP="004F200A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  <w:r w:rsidRPr="004F200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07FB406" wp14:editId="17426DF9">
            <wp:simplePos x="0" y="0"/>
            <wp:positionH relativeFrom="margin">
              <wp:posOffset>31750</wp:posOffset>
            </wp:positionH>
            <wp:positionV relativeFrom="paragraph">
              <wp:posOffset>114300</wp:posOffset>
            </wp:positionV>
            <wp:extent cx="1384300" cy="357505"/>
            <wp:effectExtent l="0" t="0" r="6350" b="4445"/>
            <wp:wrapSquare wrapText="bothSides"/>
            <wp:docPr id="1" name="Picture 1" descr="Halda Therapeu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da Therapeut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CC90" w14:textId="7FF7EAEE" w:rsidR="004F200A" w:rsidRPr="004F200A" w:rsidRDefault="004F200A" w:rsidP="004F200A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2034FC95" w14:textId="564D3E91" w:rsidR="004F200A" w:rsidRPr="004F200A" w:rsidRDefault="004F200A" w:rsidP="004F200A">
      <w:pPr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05D4167E" w14:textId="0075FD22" w:rsidR="007D29ED" w:rsidRDefault="007D29ED" w:rsidP="007D29ED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124BF" wp14:editId="13EF9C84">
            <wp:simplePos x="0" y="0"/>
            <wp:positionH relativeFrom="column">
              <wp:posOffset>4347422</wp:posOffset>
            </wp:positionH>
            <wp:positionV relativeFrom="paragraph">
              <wp:posOffset>10795</wp:posOffset>
            </wp:positionV>
            <wp:extent cx="1668145" cy="1100455"/>
            <wp:effectExtent l="0" t="0" r="8255" b="4445"/>
            <wp:wrapSquare wrapText="bothSides"/>
            <wp:docPr id="2" name="Picture 2" descr="Bio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Pat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0A" w:rsidRPr="004F200A">
        <w:rPr>
          <w:rFonts w:ascii="Arial" w:hAnsi="Arial" w:cs="Arial"/>
          <w:sz w:val="16"/>
          <w:szCs w:val="16"/>
          <w:shd w:val="clear" w:color="auto" w:fill="FFFFFF"/>
        </w:rPr>
        <w:t>23 Business Park Drive Branford, CT 06405</w:t>
      </w:r>
      <w:bookmarkEnd w:id="0"/>
    </w:p>
    <w:p w14:paraId="3254176D" w14:textId="1AD63B3D" w:rsidR="007D29ED" w:rsidRDefault="007D29ED" w:rsidP="007D29ED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60C5FF6" w14:textId="764998C0" w:rsidR="007D29ED" w:rsidRDefault="007D29ED" w:rsidP="007D29ED">
      <w:pPr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9299C0D" w14:textId="5DF73D31" w:rsidR="004F200A" w:rsidRPr="004F200A" w:rsidRDefault="004F200A" w:rsidP="004F200A">
      <w:pPr>
        <w:spacing w:after="0" w:line="240" w:lineRule="auto"/>
        <w:jc w:val="both"/>
        <w:rPr>
          <w:u w:val="single"/>
        </w:rPr>
      </w:pPr>
    </w:p>
    <w:sectPr w:rsidR="004F200A" w:rsidRPr="004F200A" w:rsidSect="007D29E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27E"/>
    <w:multiLevelType w:val="hybridMultilevel"/>
    <w:tmpl w:val="3C14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5B75"/>
    <w:multiLevelType w:val="hybridMultilevel"/>
    <w:tmpl w:val="C374E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F"/>
    <w:rsid w:val="00003A87"/>
    <w:rsid w:val="0002593C"/>
    <w:rsid w:val="0003630B"/>
    <w:rsid w:val="00043D4F"/>
    <w:rsid w:val="000449E8"/>
    <w:rsid w:val="00045797"/>
    <w:rsid w:val="0006530D"/>
    <w:rsid w:val="00094C4C"/>
    <w:rsid w:val="000A6EFB"/>
    <w:rsid w:val="000C54C2"/>
    <w:rsid w:val="000D4EDC"/>
    <w:rsid w:val="000F4AF2"/>
    <w:rsid w:val="001414D0"/>
    <w:rsid w:val="00153517"/>
    <w:rsid w:val="00153A17"/>
    <w:rsid w:val="001B0E61"/>
    <w:rsid w:val="001D17EA"/>
    <w:rsid w:val="001F169D"/>
    <w:rsid w:val="00200089"/>
    <w:rsid w:val="0020538F"/>
    <w:rsid w:val="00230D02"/>
    <w:rsid w:val="00263BD3"/>
    <w:rsid w:val="0028776E"/>
    <w:rsid w:val="002948C8"/>
    <w:rsid w:val="002C0491"/>
    <w:rsid w:val="002E4061"/>
    <w:rsid w:val="00347884"/>
    <w:rsid w:val="00351CD2"/>
    <w:rsid w:val="00363C69"/>
    <w:rsid w:val="00377110"/>
    <w:rsid w:val="003A6A6F"/>
    <w:rsid w:val="003B52BF"/>
    <w:rsid w:val="003C4BB8"/>
    <w:rsid w:val="003F6672"/>
    <w:rsid w:val="00431150"/>
    <w:rsid w:val="0044514C"/>
    <w:rsid w:val="0046007E"/>
    <w:rsid w:val="004727E6"/>
    <w:rsid w:val="00484874"/>
    <w:rsid w:val="004854F5"/>
    <w:rsid w:val="004B286B"/>
    <w:rsid w:val="004D618C"/>
    <w:rsid w:val="004F200A"/>
    <w:rsid w:val="004F7E78"/>
    <w:rsid w:val="00504D50"/>
    <w:rsid w:val="005363F7"/>
    <w:rsid w:val="00536B6D"/>
    <w:rsid w:val="0056345A"/>
    <w:rsid w:val="00592DB6"/>
    <w:rsid w:val="005A69B8"/>
    <w:rsid w:val="005B2A83"/>
    <w:rsid w:val="005B2AD7"/>
    <w:rsid w:val="005F4CCF"/>
    <w:rsid w:val="005F5AB7"/>
    <w:rsid w:val="00614BE0"/>
    <w:rsid w:val="00622631"/>
    <w:rsid w:val="006232FF"/>
    <w:rsid w:val="006351E9"/>
    <w:rsid w:val="00635CA4"/>
    <w:rsid w:val="00660196"/>
    <w:rsid w:val="006C2C3D"/>
    <w:rsid w:val="006D18C0"/>
    <w:rsid w:val="00702613"/>
    <w:rsid w:val="007143E7"/>
    <w:rsid w:val="00740DF1"/>
    <w:rsid w:val="0078553B"/>
    <w:rsid w:val="0078554B"/>
    <w:rsid w:val="00785D06"/>
    <w:rsid w:val="007A2605"/>
    <w:rsid w:val="007D29ED"/>
    <w:rsid w:val="007D5470"/>
    <w:rsid w:val="007D68BF"/>
    <w:rsid w:val="007E096C"/>
    <w:rsid w:val="00800302"/>
    <w:rsid w:val="0081083B"/>
    <w:rsid w:val="00816ABF"/>
    <w:rsid w:val="0082570B"/>
    <w:rsid w:val="0083115C"/>
    <w:rsid w:val="008A1EC6"/>
    <w:rsid w:val="008A2CAC"/>
    <w:rsid w:val="008B318B"/>
    <w:rsid w:val="008B4945"/>
    <w:rsid w:val="008B67B9"/>
    <w:rsid w:val="008D5C48"/>
    <w:rsid w:val="00912A78"/>
    <w:rsid w:val="00913D24"/>
    <w:rsid w:val="00955499"/>
    <w:rsid w:val="00975759"/>
    <w:rsid w:val="009A11A4"/>
    <w:rsid w:val="009D2195"/>
    <w:rsid w:val="00A4061D"/>
    <w:rsid w:val="00A4698F"/>
    <w:rsid w:val="00A46B5D"/>
    <w:rsid w:val="00A75618"/>
    <w:rsid w:val="00A8518C"/>
    <w:rsid w:val="00AE3326"/>
    <w:rsid w:val="00AE6400"/>
    <w:rsid w:val="00AE7266"/>
    <w:rsid w:val="00B24236"/>
    <w:rsid w:val="00B447DA"/>
    <w:rsid w:val="00B62E9D"/>
    <w:rsid w:val="00B66A26"/>
    <w:rsid w:val="00BB7C6C"/>
    <w:rsid w:val="00BE4081"/>
    <w:rsid w:val="00C016AA"/>
    <w:rsid w:val="00C11CFF"/>
    <w:rsid w:val="00C161E6"/>
    <w:rsid w:val="00C23FDB"/>
    <w:rsid w:val="00C34C57"/>
    <w:rsid w:val="00C35801"/>
    <w:rsid w:val="00C5055E"/>
    <w:rsid w:val="00C70F53"/>
    <w:rsid w:val="00C756A9"/>
    <w:rsid w:val="00CC1ED4"/>
    <w:rsid w:val="00CE119E"/>
    <w:rsid w:val="00CE4C63"/>
    <w:rsid w:val="00CF594F"/>
    <w:rsid w:val="00D51670"/>
    <w:rsid w:val="00DB5A97"/>
    <w:rsid w:val="00DC316C"/>
    <w:rsid w:val="00DE48EF"/>
    <w:rsid w:val="00E01CA1"/>
    <w:rsid w:val="00E04D64"/>
    <w:rsid w:val="00EB67B4"/>
    <w:rsid w:val="00F13B6C"/>
    <w:rsid w:val="00F22323"/>
    <w:rsid w:val="00F57D5F"/>
    <w:rsid w:val="00F72C82"/>
    <w:rsid w:val="00F84BE4"/>
    <w:rsid w:val="00FE025B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E397"/>
  <w15:chartTrackingRefBased/>
  <w15:docId w15:val="{0BA91C29-7ED1-4F82-8F1C-FFEF283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0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ct.edu/stem/biopath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southernct.edu/stem/biop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2FC51ACB5234984C797E5942637F4" ma:contentTypeVersion="12" ma:contentTypeDescription="Create a new document." ma:contentTypeScope="" ma:versionID="6134c8cb51385c6da3148e141bd73134">
  <xsd:schema xmlns:xsd="http://www.w3.org/2001/XMLSchema" xmlns:xs="http://www.w3.org/2001/XMLSchema" xmlns:p="http://schemas.microsoft.com/office/2006/metadata/properties" xmlns:ns2="d3b0600c-7518-412c-9bab-47a96562715f" xmlns:ns3="9aa611a5-1a81-4700-8ddb-4811db3b9be4" targetNamespace="http://schemas.microsoft.com/office/2006/metadata/properties" ma:root="true" ma:fieldsID="374282255e9f773788d75548f6c57e85" ns2:_="" ns3:_="">
    <xsd:import namespace="d3b0600c-7518-412c-9bab-47a96562715f"/>
    <xsd:import namespace="9aa611a5-1a81-4700-8ddb-4811db3b9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600c-7518-412c-9bab-47a965627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611a5-1a81-4700-8ddb-4811db3b9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203D4-AB3F-4F54-B7B3-80CF41DBE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E8EFB-4311-4BB4-A725-2F4A969E8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B1C7C-9E47-4005-918E-EA48D296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600c-7518-412c-9bab-47a96562715f"/>
    <ds:schemaRef ds:uri="9aa611a5-1a81-4700-8ddb-4811db3b9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Neklesa</dc:creator>
  <cp:keywords/>
  <dc:description/>
  <cp:lastModifiedBy>Dimoulas, Peter M.</cp:lastModifiedBy>
  <cp:revision>6</cp:revision>
  <dcterms:created xsi:type="dcterms:W3CDTF">2020-09-22T13:52:00Z</dcterms:created>
  <dcterms:modified xsi:type="dcterms:W3CDTF">2020-11-20T16:10:00Z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0x0101001FC2FC51ACB5234984C797E5942637F4</vt:lpwstr>
  </property>
</Properties>
</file>